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276" w:before="0" w:after="0"/>
        <w:ind w:left="2160" w:right="360" w:hanging="0"/>
        <w:contextualSpacing/>
        <w:jc w:val="left"/>
        <w:rPr>
          <w:i w:val="false"/>
          <w:i w:val="false"/>
          <w:sz w:val="24"/>
          <w:szCs w:val="24"/>
        </w:rPr>
      </w:pPr>
      <w:bookmarkStart w:id="0" w:name="_GoBack"/>
      <w:bookmarkEnd w:id="0"/>
      <w:r>
        <w:rPr>
          <w:i w:val="false"/>
          <w:sz w:val="24"/>
          <w:szCs w:val="24"/>
        </w:rPr>
        <w:t>MATH 220 Sec 01, Sec 02</w:t>
        <w:tab/>
        <w:t>Fall 2019 Syllabus</w:t>
      </w:r>
    </w:p>
    <w:p>
      <w:pPr>
        <w:pStyle w:val="Normal"/>
        <w:tabs>
          <w:tab w:val="left" w:pos="1980" w:leader="none"/>
        </w:tabs>
        <w:spacing w:lineRule="auto" w:line="276" w:before="0" w:after="0"/>
        <w:contextualSpacing/>
        <w:rPr>
          <w:b/>
          <w:b/>
        </w:rPr>
      </w:pPr>
      <w:r>
        <w:rPr>
          <w:b/>
        </w:rPr>
      </w:r>
    </w:p>
    <w:p>
      <w:pPr>
        <w:pStyle w:val="Normal"/>
        <w:tabs>
          <w:tab w:val="left" w:pos="1980" w:leader="none"/>
        </w:tabs>
        <w:spacing w:lineRule="auto" w:line="276" w:before="0" w:after="0"/>
        <w:contextualSpacing/>
        <w:rPr/>
      </w:pPr>
      <w:r>
        <w:rPr>
          <w:b/>
        </w:rPr>
        <w:t>Lecturer:</w:t>
      </w:r>
      <w:r>
        <w:rPr/>
        <w:t xml:space="preserve">  K. McKenzie </w:t>
        <w:tab/>
      </w:r>
      <w:r>
        <w:rPr>
          <w:b/>
        </w:rPr>
        <w:t>Office</w:t>
      </w:r>
      <w:r>
        <w:rPr/>
        <w:t>: Whitney Hall 224</w:t>
        <w:tab/>
      </w:r>
      <w:r>
        <w:rPr>
          <w:b/>
        </w:rPr>
        <w:t>Office hours:</w:t>
      </w:r>
      <w:r>
        <w:rPr/>
        <w:t xml:space="preserve">  Wed 2:00–5:00 </w:t>
      </w:r>
    </w:p>
    <w:p>
      <w:pPr>
        <w:pStyle w:val="Normal"/>
        <w:tabs>
          <w:tab w:val="left" w:pos="1980" w:leader="none"/>
        </w:tabs>
        <w:spacing w:lineRule="auto" w:line="276" w:before="0" w:after="0"/>
        <w:contextualSpacing/>
        <w:rPr/>
      </w:pPr>
      <w:r>
        <w:rPr/>
        <w:tab/>
        <w:t xml:space="preserve"> </w:t>
      </w:r>
    </w:p>
    <w:p>
      <w:pPr>
        <w:pStyle w:val="Normal"/>
        <w:tabs>
          <w:tab w:val="left" w:pos="1980" w:leader="none"/>
        </w:tabs>
        <w:spacing w:lineRule="auto" w:line="276" w:before="0" w:after="0"/>
        <w:contextualSpacing/>
        <w:rPr/>
      </w:pPr>
      <w:r>
        <w:rPr>
          <w:b/>
        </w:rPr>
        <w:t>Dept. secretaries’ office and phone:</w:t>
      </w:r>
      <w:r>
        <w:rPr/>
        <w:t xml:space="preserve"> Whitney Hall first floor, 777-2147 or 777-2148</w:t>
      </w:r>
    </w:p>
    <w:p>
      <w:pPr>
        <w:pStyle w:val="Normal"/>
        <w:tabs>
          <w:tab w:val="left" w:pos="1980" w:leader="none"/>
        </w:tabs>
        <w:spacing w:lineRule="auto" w:line="276" w:before="0" w:after="0"/>
        <w:ind w:left="1980" w:hanging="1980"/>
        <w:contextualSpacing/>
        <w:rPr/>
      </w:pPr>
      <w:r>
        <w:rPr/>
        <w:tab/>
      </w:r>
    </w:p>
    <w:p>
      <w:pPr>
        <w:pStyle w:val="Normal"/>
        <w:spacing w:lineRule="auto" w:line="276"/>
        <w:rPr/>
      </w:pPr>
      <w:r>
        <w:rPr/>
        <w:t>Sec 01: MWF   8:00-9:30</w:t>
        <w:tab/>
        <w:tab/>
        <w:t>Room LH 12</w:t>
        <w:tab/>
      </w:r>
    </w:p>
    <w:p>
      <w:pPr>
        <w:pStyle w:val="Normal"/>
        <w:tabs>
          <w:tab w:val="left" w:pos="810" w:leader="none"/>
          <w:tab w:val="left" w:pos="1530" w:leader="none"/>
          <w:tab w:val="left" w:pos="2880" w:leader="none"/>
          <w:tab w:val="left" w:pos="3240" w:leader="none"/>
        </w:tabs>
        <w:spacing w:lineRule="auto" w:line="276"/>
        <w:rPr/>
      </w:pPr>
      <w:r>
        <w:rPr/>
        <w:t>Sec 02:</w:t>
      </w:r>
      <w:r>
        <w:rPr>
          <w:b/>
        </w:rPr>
        <w:t xml:space="preserve"> </w:t>
      </w:r>
      <w:r>
        <w:rPr/>
        <w:t>MWF</w:t>
        <w:tab/>
        <w:t>9:40-11:10</w:t>
        <w:tab/>
        <w:tab/>
        <w:tab/>
        <w:t>Room LH 12</w:t>
      </w:r>
    </w:p>
    <w:p>
      <w:pPr>
        <w:pStyle w:val="Normal"/>
        <w:tabs>
          <w:tab w:val="left" w:pos="810" w:leader="none"/>
          <w:tab w:val="left" w:pos="1530" w:leader="none"/>
          <w:tab w:val="left" w:pos="2880" w:leader="none"/>
          <w:tab w:val="left" w:pos="3240" w:leader="none"/>
        </w:tabs>
        <w:spacing w:lineRule="auto" w:line="276"/>
        <w:rPr>
          <w:b/>
          <w:b/>
        </w:rPr>
      </w:pPr>
      <w:r>
        <w:rPr/>
        <w:tab/>
      </w:r>
    </w:p>
    <w:p>
      <w:pPr>
        <w:pStyle w:val="Default"/>
        <w:rPr/>
      </w:pPr>
      <w:r>
        <w:rPr>
          <w:b/>
          <w:bCs/>
        </w:rPr>
        <w:t>Text:</w:t>
      </w:r>
      <w:r>
        <w:rPr/>
        <w:t xml:space="preserve"> </w:t>
      </w:r>
      <w:r>
        <w:rPr>
          <w:i/>
        </w:rPr>
        <w:t>Math 220</w:t>
      </w:r>
      <w:r>
        <w:rPr/>
        <w:t xml:space="preserve">, by </w:t>
      </w:r>
      <w:r>
        <w:rPr>
          <w:bCs/>
          <w:color w:val="222222"/>
          <w:shd w:fill="FFFFFF" w:val="clear"/>
        </w:rPr>
        <w:t>R. Geoghegan</w:t>
      </w:r>
      <w:r>
        <w:rPr/>
        <w:t xml:space="preserve"> &amp; J. Brewster ($45 at bookstore; previous editions okay).</w:t>
      </w:r>
    </w:p>
    <w:p>
      <w:pPr>
        <w:pStyle w:val="Default"/>
        <w:rPr/>
      </w:pPr>
      <w:r>
        <w:rPr/>
      </w:r>
    </w:p>
    <w:p>
      <w:pPr>
        <w:pStyle w:val="Default"/>
        <w:rPr/>
      </w:pPr>
      <w:r>
        <w:rPr>
          <w:i/>
        </w:rPr>
        <w:t xml:space="preserve">Lumen Online Homework Manager </w:t>
      </w:r>
      <w:r>
        <w:rPr/>
        <w:t xml:space="preserve">is a new resource that has been added this semester. See next page of syllabus for instructions on accessing, but wait until I tell you the course is set up there before using it.  </w:t>
      </w:r>
    </w:p>
    <w:p>
      <w:pPr>
        <w:pStyle w:val="Default"/>
        <w:rPr/>
      </w:pPr>
      <w:r>
        <w:rPr/>
      </w:r>
    </w:p>
    <w:p>
      <w:pPr>
        <w:pStyle w:val="Normal"/>
        <w:spacing w:lineRule="auto" w:line="276"/>
        <w:rPr/>
      </w:pPr>
      <w:r>
        <w:rPr>
          <w:b/>
          <w:bCs/>
        </w:rPr>
        <w:t xml:space="preserve">Course website: </w:t>
      </w:r>
      <w:r>
        <w:rPr>
          <w:bCs/>
        </w:rPr>
        <w:t xml:space="preserve">This has grading policies and other items of interest. </w:t>
      </w:r>
      <w:hyperlink r:id="rId2">
        <w:r>
          <w:rPr>
            <w:rStyle w:val="InternetLink"/>
          </w:rPr>
          <w:t>https://www2.math.binghamton.edu/p/people/mckenzie/math220/course_website_for_220</w:t>
        </w:r>
      </w:hyperlink>
    </w:p>
    <w:p>
      <w:pPr>
        <w:pStyle w:val="Normal"/>
        <w:spacing w:lineRule="auto" w:line="276"/>
        <w:rPr>
          <w:rStyle w:val="InternetLink"/>
        </w:rPr>
      </w:pPr>
      <w:r>
        <w:rPr/>
      </w:r>
    </w:p>
    <w:p>
      <w:pPr>
        <w:pStyle w:val="Normal"/>
        <w:spacing w:lineRule="auto" w:line="276"/>
        <w:rPr/>
      </w:pPr>
      <w:r>
        <w:rPr>
          <w:b/>
        </w:rPr>
        <w:t>My website:</w:t>
      </w:r>
      <w:r>
        <w:rPr/>
        <w:t xml:space="preserve"> </w:t>
      </w:r>
      <w:hyperlink r:id="rId3">
        <w:r>
          <w:rPr>
            <w:rStyle w:val="InternetLink"/>
          </w:rPr>
          <w:t>http://www2.math.binghamton.edu/p/people/mckenzie/start</w:t>
        </w:r>
      </w:hyperlink>
    </w:p>
    <w:p>
      <w:pPr>
        <w:pStyle w:val="Normal"/>
        <w:spacing w:lineRule="auto" w:line="276"/>
        <w:rPr>
          <w:rStyle w:val="InternetLink"/>
          <w:color w:val="auto"/>
          <w:u w:val="none"/>
        </w:rPr>
      </w:pPr>
      <w:r>
        <w:rPr>
          <w:rStyle w:val="InternetLink"/>
          <w:color w:val="auto"/>
          <w:u w:val="none"/>
        </w:rPr>
        <w:t>This is where daily homework assignments, videos and many homework solutions can be found.</w:t>
      </w:r>
    </w:p>
    <w:p>
      <w:pPr>
        <w:pStyle w:val="Normal"/>
        <w:tabs>
          <w:tab w:val="left" w:pos="1530" w:leader="none"/>
        </w:tabs>
        <w:spacing w:lineRule="auto" w:line="276"/>
        <w:rPr>
          <w:b/>
          <w:b/>
          <w:bCs/>
        </w:rPr>
      </w:pPr>
      <w:r>
        <w:rPr>
          <w:b/>
          <w:bCs/>
        </w:rPr>
        <w:tab/>
      </w:r>
    </w:p>
    <w:p>
      <w:pPr>
        <w:pStyle w:val="Normal"/>
        <w:spacing w:lineRule="auto" w:line="276"/>
        <w:rPr/>
      </w:pPr>
      <w:r>
        <w:rPr>
          <w:b/>
          <w:bCs/>
        </w:rPr>
        <w:t>Supplemental materials:</w:t>
      </w:r>
      <w:r>
        <w:rPr>
          <w:bCs/>
        </w:rPr>
        <w:t xml:space="preserve"> You can find extra practice worksheets and videos at </w:t>
      </w:r>
      <w:hyperlink r:id="rId4">
        <w:r>
          <w:rPr>
            <w:rStyle w:val="InternetLink"/>
            <w:bCs/>
          </w:rPr>
          <w:t>http://courses.math.binghamton.edu/math220/supplement.html</w:t>
        </w:r>
      </w:hyperlink>
    </w:p>
    <w:p>
      <w:pPr>
        <w:pStyle w:val="Normal"/>
        <w:spacing w:lineRule="auto" w:line="276"/>
        <w:rPr>
          <w:bCs/>
        </w:rPr>
      </w:pPr>
      <w:r>
        <w:rPr>
          <w:bCs/>
        </w:rPr>
      </w:r>
    </w:p>
    <w:p>
      <w:pPr>
        <w:pStyle w:val="Default"/>
        <w:rPr/>
      </w:pPr>
      <w:r>
        <w:rPr>
          <w:b/>
        </w:rPr>
        <w:t xml:space="preserve">Grading: </w:t>
      </w:r>
      <w:r>
        <w:rPr/>
        <w:t xml:space="preserve">The final grade will be based mainly on in-class exams and quizzes, a final exam. A smaller portion of the grade is at my discretion, based on your attendance, participation and homework preparation.  </w:t>
      </w:r>
    </w:p>
    <w:p>
      <w:pPr>
        <w:pStyle w:val="Default"/>
        <w:rPr/>
      </w:pPr>
      <w:r>
        <w:rPr/>
      </w:r>
    </w:p>
    <w:p>
      <w:pPr>
        <w:pStyle w:val="NormalWeb"/>
        <w:spacing w:lineRule="auto" w:line="276" w:beforeAutospacing="0" w:before="0" w:afterAutospacing="0" w:after="0"/>
        <w:rPr>
          <w:bCs/>
        </w:rPr>
      </w:pPr>
      <w:r>
        <w:rPr>
          <w:b/>
          <w:bCs/>
        </w:rPr>
        <w:t xml:space="preserve">Phones: </w:t>
      </w:r>
      <w:r>
        <w:rPr>
          <w:bCs/>
          <w:i/>
        </w:rPr>
        <w:t>Stash</w:t>
      </w:r>
      <w:r>
        <w:rPr>
          <w:b/>
          <w:bCs/>
          <w:i/>
        </w:rPr>
        <w:t xml:space="preserve"> </w:t>
      </w:r>
      <w:r>
        <w:rPr>
          <w:bCs/>
          <w:i/>
        </w:rPr>
        <w:t>them, turned off when class starts.</w:t>
      </w:r>
      <w:r>
        <w:rPr>
          <w:bCs/>
        </w:rPr>
        <w:t xml:space="preserve"> Texting etc. affects discretionary grade.</w:t>
      </w:r>
    </w:p>
    <w:p>
      <w:pPr>
        <w:pStyle w:val="NormalWeb"/>
        <w:spacing w:lineRule="auto" w:line="276" w:beforeAutospacing="0" w:before="0" w:afterAutospacing="0" w:after="0"/>
        <w:rPr>
          <w:b/>
          <w:b/>
          <w:bCs/>
        </w:rPr>
      </w:pPr>
      <w:r>
        <w:rPr>
          <w:b/>
          <w:bCs/>
        </w:rPr>
      </w:r>
    </w:p>
    <w:p>
      <w:pPr>
        <w:pStyle w:val="NormalWeb"/>
        <w:spacing w:lineRule="auto" w:line="276" w:beforeAutospacing="0" w:before="0" w:afterAutospacing="0" w:after="0"/>
        <w:ind w:right="360" w:hanging="0"/>
        <w:rPr>
          <w:bCs/>
        </w:rPr>
      </w:pPr>
      <w:r>
        <w:rPr>
          <w:b/>
          <w:bCs/>
        </w:rPr>
        <w:t>Attendance and punctuality:</w:t>
      </w:r>
      <w:r>
        <w:rPr/>
        <w:t xml:space="preserve"> </w:t>
      </w:r>
      <w:r>
        <w:rPr>
          <w:bCs/>
        </w:rPr>
        <w:t xml:space="preserve">Absences (unexcused) and lateness, like texting, affect discretionary grade. </w:t>
      </w:r>
    </w:p>
    <w:p>
      <w:pPr>
        <w:pStyle w:val="Normal"/>
        <w:spacing w:beforeAutospacing="1" w:afterAutospacing="1"/>
        <w:rPr/>
      </w:pPr>
      <w:r>
        <w:rPr>
          <w:b/>
          <w:bCs/>
        </w:rPr>
        <w:t>Exams</w:t>
      </w:r>
      <w:r>
        <w:rPr>
          <w:bCs/>
        </w:rPr>
        <w:t>: Three or four midterm exams and a final exam. Dates will be announced on my website.</w:t>
      </w:r>
    </w:p>
    <w:p>
      <w:pPr>
        <w:pStyle w:val="NormalWeb"/>
        <w:spacing w:lineRule="auto" w:line="276" w:beforeAutospacing="0" w:before="0" w:afterAutospacing="0" w:after="0"/>
        <w:rPr>
          <w:bCs/>
        </w:rPr>
      </w:pPr>
      <w:r>
        <w:rPr>
          <w:b/>
          <w:bCs/>
        </w:rPr>
        <w:t xml:space="preserve">Calculators and Other Electronic Devices: </w:t>
      </w:r>
      <w:r>
        <w:rPr>
          <w:bCs/>
        </w:rPr>
        <w:t xml:space="preserve">Don’t use them on quizzes or tests, but okay for homework. Using any electronic device, during quizzes or tests will result in a grade of zero. </w:t>
      </w:r>
    </w:p>
    <w:p>
      <w:pPr>
        <w:pStyle w:val="NormalWeb"/>
        <w:numPr>
          <w:ilvl w:val="0"/>
          <w:numId w:val="1"/>
        </w:numPr>
        <w:spacing w:lineRule="auto" w:line="360" w:beforeAutospacing="0" w:before="0" w:afterAutospacing="0" w:after="0"/>
        <w:ind w:left="450" w:hanging="360"/>
        <w:rPr>
          <w:b/>
          <w:b/>
          <w:bCs/>
        </w:rPr>
      </w:pPr>
      <w:r>
        <w:rPr>
          <w:rFonts w:eastAsia="Franklin Gothic"/>
          <w:b/>
          <w:bCs/>
        </w:rPr>
      </w:r>
    </w:p>
    <w:p>
      <w:pPr>
        <w:pStyle w:val="NormalWeb"/>
        <w:spacing w:lineRule="auto" w:line="276" w:beforeAutospacing="0" w:before="0" w:afterAutospacing="0" w:after="0"/>
        <w:ind w:right="360" w:hanging="0"/>
        <w:rPr/>
      </w:pPr>
      <w:r>
        <w:rPr>
          <w:b/>
          <w:color w:val="000000"/>
          <w:shd w:fill="FFFFFF" w:val="clear"/>
        </w:rPr>
        <w:t xml:space="preserve">Extra help: </w:t>
      </w:r>
      <w:r>
        <w:rPr/>
        <w:t xml:space="preserve">Math Help Room in Whitney Hall (down the corridor from my office) has other calculus instructors who will help you when their own students are not there. Math Help Room schedules are available the second week of classes at </w:t>
      </w:r>
      <w:hyperlink r:id="rId5">
        <w:r>
          <w:rPr>
            <w:rStyle w:val="InternetLink"/>
          </w:rPr>
          <w:t>https://www2.math.binghamton.edu/p/helprooms/start?redirect=1</w:t>
        </w:r>
      </w:hyperlink>
    </w:p>
    <w:p>
      <w:pPr>
        <w:pStyle w:val="Heading2"/>
        <w:spacing w:lineRule="auto" w:line="360"/>
        <w:rPr>
          <w:rFonts w:ascii="Times New Roman" w:hAnsi="Times New Roman" w:eastAsia="Work Sans SemiBold" w:cs="Times New Roman"/>
          <w:i/>
          <w:i/>
          <w:sz w:val="24"/>
          <w:szCs w:val="24"/>
        </w:rPr>
      </w:pPr>
      <w:bookmarkStart w:id="1" w:name="_ap9fo5skd0p0"/>
      <w:bookmarkEnd w:id="1"/>
      <w:r>
        <w:rPr>
          <w:rFonts w:eastAsia="Work Sans SemiBold" w:cs="Times New Roman" w:ascii="Times New Roman" w:hAnsi="Times New Roman"/>
          <w:i/>
          <w:sz w:val="24"/>
          <w:szCs w:val="24"/>
        </w:rPr>
        <w:t>OHM—Online Homework Manager</w:t>
      </w:r>
    </w:p>
    <w:p>
      <w:pPr>
        <w:pStyle w:val="Normal"/>
        <w:spacing w:lineRule="auto" w:line="360" w:before="0" w:after="200"/>
        <w:rPr/>
      </w:pPr>
      <w:r>
        <w:rPr>
          <w:rFonts w:eastAsia="Work Sans"/>
        </w:rPr>
        <w:t xml:space="preserve">This course uses Lumen Online Homework Manager (OHM) for instructional materials and homework assignments. OHM is free, with unlimited opportunities to practice what you’re learning. It has a textbook, too, and since OHM uses </w:t>
      </w:r>
      <w:hyperlink r:id="rId6">
        <w:r>
          <w:rPr>
            <w:rStyle w:val="ListLabel12"/>
            <w:rFonts w:eastAsia="Work Sans"/>
            <w:u w:val="single"/>
          </w:rPr>
          <w:t>open educational resources (OER)</w:t>
        </w:r>
      </w:hyperlink>
      <w:r>
        <w:rPr>
          <w:rFonts w:eastAsia="Work Sans"/>
        </w:rPr>
        <w:t xml:space="preserve"> you can also retain access to the textbook forever.</w:t>
      </w:r>
    </w:p>
    <w:p>
      <w:pPr>
        <w:pStyle w:val="Heading2"/>
        <w:spacing w:lineRule="auto" w:line="360"/>
        <w:rPr>
          <w:rFonts w:ascii="Times New Roman" w:hAnsi="Times New Roman" w:eastAsia="Work Sans SemiBold" w:cs="Times New Roman"/>
          <w:b/>
          <w:b/>
          <w:sz w:val="24"/>
          <w:szCs w:val="24"/>
        </w:rPr>
      </w:pPr>
      <w:bookmarkStart w:id="2" w:name="_p7i5xauz2r5o"/>
      <w:bookmarkEnd w:id="2"/>
      <w:r>
        <w:rPr>
          <w:rFonts w:eastAsia="Work Sans SemiBold" w:cs="Times New Roman" w:ascii="Times New Roman" w:hAnsi="Times New Roman"/>
          <w:b/>
          <w:sz w:val="24"/>
          <w:szCs w:val="24"/>
        </w:rPr>
        <w:t>Accessing Your OHM Course</w:t>
      </w:r>
    </w:p>
    <w:p>
      <w:pPr>
        <w:pStyle w:val="Normal"/>
        <w:numPr>
          <w:ilvl w:val="0"/>
          <w:numId w:val="1"/>
        </w:numPr>
        <w:spacing w:lineRule="auto" w:line="360" w:before="300" w:after="0"/>
        <w:ind w:hanging="0"/>
        <w:rPr/>
      </w:pPr>
      <w:bookmarkStart w:id="3" w:name="__DdeLink__209_2473385154"/>
      <w:bookmarkEnd w:id="3"/>
      <w:r>
        <w:rPr>
          <w:rFonts w:eastAsia="Franklin Gothic"/>
        </w:rPr>
        <w:t xml:space="preserve">Navigate to </w:t>
      </w:r>
      <w:hyperlink r:id="rId7">
        <w:r>
          <w:rPr>
            <w:rStyle w:val="ListLabel13"/>
            <w:rFonts w:eastAsia="Franklin Gothic"/>
            <w:u w:val="single"/>
          </w:rPr>
          <w:t>ohm.lumenlearning.com</w:t>
        </w:r>
      </w:hyperlink>
      <w:r>
        <w:rPr>
          <w:rFonts w:eastAsia="Franklin Gothic"/>
        </w:rPr>
        <w:t>. Click on "</w:t>
      </w:r>
      <w:r>
        <w:rPr>
          <w:rFonts w:eastAsia="Franklin Gothic"/>
          <w:b/>
        </w:rPr>
        <w:t>Enroll in a New Class</w:t>
      </w:r>
      <w:r>
        <w:rPr>
          <w:rFonts w:eastAsia="Franklin Gothic"/>
        </w:rPr>
        <w:t>".</w:t>
      </w:r>
    </w:p>
    <w:p>
      <w:pPr>
        <w:pStyle w:val="Normal"/>
        <w:widowControl/>
        <w:numPr>
          <w:ilvl w:val="0"/>
          <w:numId w:val="1"/>
        </w:numPr>
        <w:bidi w:val="0"/>
        <w:spacing w:lineRule="auto" w:line="360"/>
        <w:ind w:left="0" w:right="0" w:hanging="0"/>
        <w:jc w:val="left"/>
        <w:rPr/>
      </w:pPr>
      <w:r>
        <w:rPr>
          <w:rFonts w:eastAsia="Franklin Gothic"/>
        </w:rPr>
        <w:t xml:space="preserve">Enter the </w:t>
      </w:r>
      <w:r>
        <w:rPr>
          <w:rFonts w:eastAsia="Franklin Gothic"/>
          <w:b/>
        </w:rPr>
        <w:t>Course ID</w:t>
      </w:r>
      <w:r>
        <w:rPr>
          <w:rFonts w:eastAsia="Franklin Gothic"/>
        </w:rPr>
        <w:t xml:space="preserve"> </w:t>
      </w:r>
      <w:r>
        <w:rPr>
          <w:rFonts w:eastAsia="Franklin Gothic"/>
          <w:b/>
          <w:bCs/>
          <w:color w:val="003D73"/>
        </w:rPr>
        <w:t>35852</w:t>
      </w:r>
      <w:r>
        <w:rPr>
          <w:rFonts w:eastAsia="Franklin Gothic"/>
        </w:rPr>
        <w:t xml:space="preserve"> </w:t>
      </w:r>
      <w:r>
        <w:rPr>
          <w:rFonts w:eastAsia="Franklin Gothic"/>
        </w:rPr>
        <w:t xml:space="preserve">and </w:t>
      </w:r>
      <w:r>
        <w:rPr>
          <w:rFonts w:eastAsia="Franklin Gothic"/>
          <w:b/>
        </w:rPr>
        <w:t>Enrollment Key</w:t>
      </w:r>
      <w:r>
        <w:rPr>
          <w:rFonts w:eastAsia="Franklin Gothic"/>
        </w:rPr>
        <w:t xml:space="preserve"> </w:t>
      </w:r>
      <w:r>
        <w:rPr>
          <w:rFonts w:eastAsia="Franklin Gothic"/>
          <w:b/>
          <w:bCs/>
          <w:color w:val="003D73"/>
        </w:rPr>
        <w:t>KM220F19</w:t>
      </w:r>
    </w:p>
    <w:p>
      <w:pPr>
        <w:pStyle w:val="Normal"/>
        <w:numPr>
          <w:ilvl w:val="0"/>
          <w:numId w:val="1"/>
        </w:numPr>
        <w:spacing w:lineRule="auto" w:line="360"/>
        <w:ind w:hanging="0"/>
        <w:rPr/>
      </w:pPr>
      <w:r>
        <w:rPr>
          <w:rFonts w:eastAsia="Franklin Gothic"/>
        </w:rPr>
        <w:t>Confirm the course details and click on "</w:t>
      </w:r>
      <w:r>
        <w:rPr>
          <w:rFonts w:eastAsia="Franklin Gothic"/>
          <w:b/>
        </w:rPr>
        <w:t>Enroll</w:t>
      </w:r>
      <w:r>
        <w:rPr>
          <w:rFonts w:eastAsia="Franklin Gothic"/>
        </w:rPr>
        <w:t>".</w:t>
      </w:r>
    </w:p>
    <w:p>
      <w:pPr>
        <w:pStyle w:val="Normal"/>
        <w:numPr>
          <w:ilvl w:val="0"/>
          <w:numId w:val="1"/>
        </w:numPr>
        <w:spacing w:lineRule="auto" w:line="360"/>
        <w:ind w:hanging="0"/>
        <w:rPr/>
      </w:pPr>
      <w:r>
        <w:rPr>
          <w:rFonts w:eastAsia="Franklin Gothic"/>
        </w:rPr>
        <w:t>If you already have an OHM account, login. Otherwise, sign up for a new account.</w:t>
      </w:r>
    </w:p>
    <w:p>
      <w:pPr>
        <w:pStyle w:val="Normal"/>
        <w:widowControl/>
        <w:numPr>
          <w:ilvl w:val="0"/>
          <w:numId w:val="1"/>
        </w:numPr>
        <w:tabs>
          <w:tab w:val="left" w:pos="720" w:leader="none"/>
        </w:tabs>
        <w:bidi w:val="0"/>
        <w:spacing w:lineRule="auto" w:line="360" w:before="0" w:after="300"/>
        <w:ind w:left="0" w:right="0" w:hanging="0"/>
        <w:jc w:val="left"/>
        <w:rPr/>
      </w:pPr>
      <w:r>
        <w:rPr>
          <w:rFonts w:eastAsia="Franklin Gothic"/>
        </w:rPr>
        <w:t>Once you’re inside OHM, click on “</w:t>
      </w:r>
      <w:r>
        <w:rPr>
          <w:rFonts w:eastAsia="Franklin Gothic"/>
          <w:b/>
        </w:rPr>
        <w:t>Help Using Lumen OHM</w:t>
      </w:r>
      <w:r>
        <w:rPr>
          <w:rFonts w:eastAsia="Franklin Gothic"/>
        </w:rPr>
        <w:t xml:space="preserve">” in the left-side </w:t>
        <w:tab/>
        <w:t xml:space="preserve">navigation bar for instructions on how to use OHM. </w:t>
      </w:r>
    </w:p>
    <w:p>
      <w:pPr>
        <w:pStyle w:val="NormalWeb"/>
        <w:spacing w:lineRule="auto" w:line="276" w:beforeAutospacing="0" w:before="0" w:afterAutospacing="0" w:after="0"/>
        <w:ind w:right="360" w:hanging="0"/>
        <w:rPr/>
      </w:pPr>
      <w:r>
        <w:rPr/>
      </w:r>
      <w:bookmarkStart w:id="4" w:name="__DdeLink__209_2473385154"/>
      <w:bookmarkStart w:id="5" w:name="__DdeLink__209_2473385154"/>
      <w:bookmarkEnd w:id="5"/>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440" w:hanging="360"/>
      </w:pPr>
      <w:rPr>
        <w:rFonts w:ascii="Symbol" w:hAnsi="Symbol" w:cs="Symbol" w:hint="default"/>
        <w:rFonts w:cs="OpenSymbol"/>
      </w:rPr>
    </w:lvl>
    <w:lvl w:ilvl="2">
      <w:start w:val="1"/>
      <w:numFmt w:val="bullet"/>
      <w:lvlText w:val=""/>
      <w:lvlJc w:val="right"/>
      <w:pPr>
        <w:ind w:left="2160" w:hanging="360"/>
      </w:pPr>
      <w:rPr>
        <w:rFonts w:ascii="Symbol" w:hAnsi="Symbol" w:cs="Symbol" w:hint="default"/>
        <w:rFonts w:cs="OpenSymbol"/>
      </w:rPr>
    </w:lvl>
    <w:lvl w:ilvl="3">
      <w:start w:val="1"/>
      <w:numFmt w:val="bullet"/>
      <w:lvlText w:val=""/>
      <w:lvlJc w:val="left"/>
      <w:pPr>
        <w:ind w:left="2880" w:hanging="360"/>
      </w:pPr>
      <w:rPr>
        <w:rFonts w:ascii="Symbol" w:hAnsi="Symbol" w:cs="Symbol" w:hint="default"/>
        <w:rFonts w:cs="OpenSymbol"/>
      </w:rPr>
    </w:lvl>
    <w:lvl w:ilvl="4">
      <w:start w:val="1"/>
      <w:numFmt w:val="bullet"/>
      <w:lvlText w:val=""/>
      <w:lvlJc w:val="left"/>
      <w:pPr>
        <w:ind w:left="3600" w:hanging="360"/>
      </w:pPr>
      <w:rPr>
        <w:rFonts w:ascii="Symbol" w:hAnsi="Symbol" w:cs="Symbol" w:hint="default"/>
        <w:rFonts w:cs="OpenSymbol"/>
      </w:rPr>
    </w:lvl>
    <w:lvl w:ilvl="5">
      <w:start w:val="1"/>
      <w:numFmt w:val="bullet"/>
      <w:lvlText w:val=""/>
      <w:lvlJc w:val="right"/>
      <w:pPr>
        <w:ind w:left="4320" w:hanging="360"/>
      </w:pPr>
      <w:rPr>
        <w:rFonts w:ascii="Symbol" w:hAnsi="Symbol" w:cs="Symbol" w:hint="default"/>
        <w:rFonts w:cs="OpenSymbol"/>
      </w:rPr>
    </w:lvl>
    <w:lvl w:ilvl="6">
      <w:start w:val="1"/>
      <w:numFmt w:val="bullet"/>
      <w:lvlText w:val=""/>
      <w:lvlJc w:val="left"/>
      <w:pPr>
        <w:ind w:left="5040" w:hanging="360"/>
      </w:pPr>
      <w:rPr>
        <w:rFonts w:ascii="Symbol" w:hAnsi="Symbol" w:cs="Symbol" w:hint="default"/>
        <w:rFonts w:cs="OpenSymbol"/>
      </w:rPr>
    </w:lvl>
    <w:lvl w:ilvl="7">
      <w:start w:val="1"/>
      <w:numFmt w:val="bullet"/>
      <w:lvlText w:val=""/>
      <w:lvlJc w:val="left"/>
      <w:pPr>
        <w:ind w:left="5760" w:hanging="360"/>
      </w:pPr>
      <w:rPr>
        <w:rFonts w:ascii="Symbol" w:hAnsi="Symbol" w:cs="Symbol" w:hint="default"/>
        <w:rFonts w:cs="OpenSymbol"/>
      </w:rPr>
    </w:lvl>
    <w:lvl w:ilvl="8">
      <w:start w:val="1"/>
      <w:numFmt w:val="bullet"/>
      <w:lvlText w:val=""/>
      <w:lvlJc w:val="right"/>
      <w:pPr>
        <w:ind w:left="6480" w:hanging="360"/>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46f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next w:val="Normal"/>
    <w:link w:val="Heading2Char"/>
    <w:qFormat/>
    <w:rsid w:val="00ed09ba"/>
    <w:pPr>
      <w:keepNext w:val="true"/>
      <w:keepLines/>
      <w:spacing w:lineRule="auto" w:line="276" w:before="360" w:after="120"/>
      <w:outlineLvl w:val="1"/>
    </w:pPr>
    <w:rPr>
      <w:rFonts w:ascii="Arial" w:hAnsi="Arial" w:eastAsia="Arial" w:cs="Arial"/>
      <w:sz w:val="32"/>
      <w:szCs w:val="32"/>
      <w:lang w:val="en"/>
    </w:rPr>
  </w:style>
  <w:style w:type="character" w:styleId="DefaultParagraphFont" w:default="1">
    <w:name w:val="Default Paragraph Font"/>
    <w:uiPriority w:val="1"/>
    <w:semiHidden/>
    <w:unhideWhenUsed/>
    <w:qFormat/>
    <w:rPr/>
  </w:style>
  <w:style w:type="character" w:styleId="InternetLink">
    <w:name w:val="Internet Link"/>
    <w:rsid w:val="009746ff"/>
    <w:rPr>
      <w:color w:val="0000FF"/>
      <w:u w:val="single"/>
    </w:rPr>
  </w:style>
  <w:style w:type="character" w:styleId="TitleChar" w:customStyle="1">
    <w:name w:val="Title Char"/>
    <w:link w:val="Title"/>
    <w:qFormat/>
    <w:rsid w:val="009746ff"/>
    <w:rPr>
      <w:rFonts w:ascii="Times New Roman" w:hAnsi="Times New Roman" w:eastAsia="Times New Roman" w:cs="Times New Roman"/>
      <w:b/>
      <w:i/>
      <w:sz w:val="32"/>
      <w:szCs w:val="32"/>
    </w:rPr>
  </w:style>
  <w:style w:type="character" w:styleId="FollowedHyperlink">
    <w:name w:val="FollowedHyperlink"/>
    <w:uiPriority w:val="99"/>
    <w:semiHidden/>
    <w:unhideWhenUsed/>
    <w:qFormat/>
    <w:rsid w:val="000900e5"/>
    <w:rPr>
      <w:color w:val="800080"/>
      <w:u w:val="single"/>
    </w:rPr>
  </w:style>
  <w:style w:type="character" w:styleId="Heading2Char" w:customStyle="1">
    <w:name w:val="Heading 2 Char"/>
    <w:basedOn w:val="DefaultParagraphFont"/>
    <w:link w:val="Heading2"/>
    <w:qFormat/>
    <w:rsid w:val="00ed09ba"/>
    <w:rPr>
      <w:rFonts w:ascii="Arial" w:hAnsi="Arial" w:eastAsia="Arial" w:cs="Arial"/>
      <w:sz w:val="32"/>
      <w:szCs w:val="32"/>
      <w:lang w:val="e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style>
  <w:style w:type="character" w:styleId="ListLabel11">
    <w:name w:val="ListLabel 11"/>
    <w:qFormat/>
    <w:rPr>
      <w:bCs/>
    </w:rPr>
  </w:style>
  <w:style w:type="character" w:styleId="ListLabel12">
    <w:name w:val="ListLabel 12"/>
    <w:qFormat/>
    <w:rPr>
      <w:rFonts w:eastAsia="Work Sans"/>
      <w:u w:val="single"/>
    </w:rPr>
  </w:style>
  <w:style w:type="character" w:styleId="ListLabel13">
    <w:name w:val="ListLabel 13"/>
    <w:qFormat/>
    <w:rPr>
      <w:rFonts w:eastAsia="Franklin Gothic"/>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leChar"/>
    <w:qFormat/>
    <w:rsid w:val="009746ff"/>
    <w:pPr>
      <w:jc w:val="center"/>
    </w:pPr>
    <w:rPr>
      <w:b/>
      <w:i/>
      <w:sz w:val="32"/>
      <w:szCs w:val="32"/>
    </w:rPr>
  </w:style>
  <w:style w:type="paragraph" w:styleId="NormalWeb">
    <w:name w:val="Normal (Web)"/>
    <w:basedOn w:val="Normal"/>
    <w:uiPriority w:val="99"/>
    <w:unhideWhenUsed/>
    <w:qFormat/>
    <w:rsid w:val="009746ff"/>
    <w:pPr>
      <w:spacing w:beforeAutospacing="1" w:afterAutospacing="1"/>
    </w:pPr>
    <w:rPr/>
  </w:style>
  <w:style w:type="paragraph" w:styleId="Default" w:customStyle="1">
    <w:name w:val="Default"/>
    <w:qFormat/>
    <w:rsid w:val="009746ff"/>
    <w:pPr>
      <w:widowControl/>
      <w:bidi w:val="0"/>
      <w:jc w:val="left"/>
    </w:pPr>
    <w:rPr>
      <w:rFonts w:ascii="Times New Roman" w:hAnsi="Times New Roman" w:eastAsia="Calibri" w:cs="Times New Roman"/>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2.math.binghamton.edu/p/people/mckenzie/math220/course_website_for_220" TargetMode="External"/><Relationship Id="rId3" Type="http://schemas.openxmlformats.org/officeDocument/2006/relationships/hyperlink" Target="http://www2.math.binghamton.edu/p/people/mckenzie/start" TargetMode="External"/><Relationship Id="rId4" Type="http://schemas.openxmlformats.org/officeDocument/2006/relationships/hyperlink" Target="http://courses.math.binghamton.edu/math220/supplement.html" TargetMode="External"/><Relationship Id="rId5" Type="http://schemas.openxmlformats.org/officeDocument/2006/relationships/hyperlink" Target="https://www2.math.binghamton.edu/p/helprooms/start?redirect=1" TargetMode="External"/><Relationship Id="rId6" Type="http://schemas.openxmlformats.org/officeDocument/2006/relationships/hyperlink" Target="https://wiki.creativecommons.org/wiki/What_is_OER%3F" TargetMode="External"/><Relationship Id="rId7" Type="http://schemas.openxmlformats.org/officeDocument/2006/relationships/hyperlink" Target="https://ohm.lumenlearning.co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LibreOffice/6.0.7.3.0$Linux_X86_64 LibreOffice_project/00$Build-3</Application>
  <Pages>2</Pages>
  <Words>415</Words>
  <Characters>2340</Characters>
  <CharactersWithSpaces>2745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2019-08-20T18:15:00Z</dcterms:created>
  <dc:creator>Editor</dc:creator>
  <dc:description/>
  <dc:language>en-US</dc:language>
  <cp:lastModifiedBy/>
  <cp:lastPrinted>2018-08-21T22:12:00Z</cp:lastPrinted>
  <dcterms:modified xsi:type="dcterms:W3CDTF">2019-09-21T15:23:41Z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